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D31523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» мая 2025г.   № </w:t>
      </w:r>
      <w:r w:rsidR="00D31523">
        <w:rPr>
          <w:rFonts w:ascii="Arial" w:hAnsi="Arial" w:cs="Arial"/>
          <w:b/>
          <w:sz w:val="32"/>
          <w:szCs w:val="32"/>
        </w:rPr>
        <w:t>73-160</w:t>
      </w:r>
      <w:r w:rsidR="00A039F7">
        <w:rPr>
          <w:rFonts w:ascii="Arial" w:hAnsi="Arial" w:cs="Arial"/>
          <w:b/>
          <w:sz w:val="32"/>
          <w:szCs w:val="32"/>
        </w:rPr>
        <w:t>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3152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</w:t>
      </w:r>
      <w:r w:rsidR="00D31523">
        <w:rPr>
          <w:rFonts w:ascii="Arial" w:hAnsi="Arial" w:cs="Arial"/>
          <w:b/>
          <w:sz w:val="32"/>
          <w:szCs w:val="32"/>
        </w:rPr>
        <w:t>льсовета от 21.12.2021 г. № 3-7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D3152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D31523">
        <w:rPr>
          <w:rFonts w:ascii="Arial" w:hAnsi="Arial" w:cs="Arial"/>
          <w:sz w:val="24"/>
          <w:szCs w:val="24"/>
        </w:rPr>
        <w:t>от 21.12.2021. г. №3-7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74743A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Default="0074743A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6820</w:t>
            </w:r>
          </w:p>
          <w:p w:rsidR="0074743A" w:rsidRPr="00C15FA4" w:rsidRDefault="0074743A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74743A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74743A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74743A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  <w:bookmarkStart w:id="0" w:name="_GoBack"/>
            <w:bookmarkEnd w:id="0"/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D31523">
        <w:rPr>
          <w:rFonts w:ascii="Arial" w:hAnsi="Arial" w:cs="Arial"/>
          <w:spacing w:val="1"/>
          <w:sz w:val="24"/>
          <w:szCs w:val="24"/>
        </w:rPr>
        <w:t>Крутовского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D31523">
        <w:rPr>
          <w:rFonts w:ascii="Arial" w:hAnsi="Arial" w:cs="Arial"/>
          <w:spacing w:val="-1"/>
          <w:sz w:val="24"/>
          <w:szCs w:val="24"/>
        </w:rPr>
        <w:t>Крутовского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D31523">
        <w:rPr>
          <w:rFonts w:ascii="Arial" w:hAnsi="Arial" w:cs="Arial"/>
          <w:spacing w:val="10"/>
          <w:sz w:val="24"/>
          <w:szCs w:val="24"/>
        </w:rPr>
        <w:t>Крутовского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D31523">
        <w:rPr>
          <w:rFonts w:ascii="Arial" w:hAnsi="Arial" w:cs="Arial"/>
          <w:spacing w:val="8"/>
          <w:sz w:val="24"/>
          <w:szCs w:val="24"/>
        </w:rPr>
        <w:t>Крутовского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D31523">
        <w:rPr>
          <w:sz w:val="24"/>
          <w:szCs w:val="24"/>
        </w:rPr>
        <w:t>Крутовского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Перечень упущений, за которые производится снижение размера </w:t>
      </w:r>
      <w:r w:rsidRPr="00F74304">
        <w:rPr>
          <w:sz w:val="24"/>
          <w:szCs w:val="24"/>
        </w:rPr>
        <w:lastRenderedPageBreak/>
        <w:t>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</w:t>
      </w:r>
      <w:r w:rsidRPr="00F74304">
        <w:rPr>
          <w:sz w:val="24"/>
          <w:szCs w:val="24"/>
        </w:rPr>
        <w:lastRenderedPageBreak/>
        <w:t>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D31523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В.Г.Ручкина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31523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</w:t>
      </w:r>
      <w:r w:rsidR="00D31523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D31523">
        <w:rPr>
          <w:rFonts w:ascii="Arial" w:hAnsi="Arial" w:cs="Arial"/>
          <w:sz w:val="24"/>
          <w:szCs w:val="24"/>
        </w:rPr>
        <w:t>Н.Ю.Каменева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74743A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4743A"/>
    <w:rsid w:val="007957C5"/>
    <w:rsid w:val="007D7E23"/>
    <w:rsid w:val="00811E57"/>
    <w:rsid w:val="008233A9"/>
    <w:rsid w:val="008763CE"/>
    <w:rsid w:val="00906E9B"/>
    <w:rsid w:val="0095701E"/>
    <w:rsid w:val="00A039F7"/>
    <w:rsid w:val="00B01954"/>
    <w:rsid w:val="00BA4131"/>
    <w:rsid w:val="00BB3ABF"/>
    <w:rsid w:val="00BD2851"/>
    <w:rsid w:val="00BF2F10"/>
    <w:rsid w:val="00CA181F"/>
    <w:rsid w:val="00D31523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BB9"/>
  <w15:docId w15:val="{72D185D5-241A-4FF6-AF4D-8240706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11</cp:revision>
  <dcterms:created xsi:type="dcterms:W3CDTF">2025-05-15T06:12:00Z</dcterms:created>
  <dcterms:modified xsi:type="dcterms:W3CDTF">2025-05-30T05:53:00Z</dcterms:modified>
</cp:coreProperties>
</file>