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08479DA" wp14:editId="554392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040563" w:rsidRDefault="00E21801" w:rsidP="00E04C3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04C3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D2511C"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E21801" w:rsidP="00E04C3A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16» апреля 2019г.   № 3</w:t>
      </w:r>
      <w:r w:rsidRPr="00E2180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-91</w:t>
      </w:r>
      <w:r w:rsidR="0010332C">
        <w:rPr>
          <w:rFonts w:ascii="Times New Roman" w:eastAsia="Times New Roman" w:hAnsi="Times New Roman"/>
          <w:sz w:val="28"/>
          <w:szCs w:val="28"/>
        </w:rPr>
        <w:t>-6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10332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r w:rsidR="00E21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r w:rsidR="00E21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218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E21801">
        <w:rPr>
          <w:rFonts w:ascii="Times New Roman" w:hAnsi="Times New Roman" w:cs="Times New Roman"/>
          <w:sz w:val="24"/>
          <w:szCs w:val="24"/>
          <w:lang w:eastAsia="ru-RU"/>
        </w:rPr>
        <w:t>А.П.Бартенев</w:t>
      </w:r>
      <w:proofErr w:type="spellEnd"/>
    </w:p>
    <w:p w:rsidR="00500FE7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801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113DC" w:rsidRDefault="00E2180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A1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proofErr w:type="spellEnd"/>
    </w:p>
    <w:p w:rsidR="00A113DC" w:rsidRDefault="00A113DC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E2180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332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16.04.2019г. 2019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36-91</w:t>
      </w:r>
      <w:bookmarkStart w:id="0" w:name="_GoBack"/>
      <w:bookmarkEnd w:id="0"/>
      <w:r w:rsidR="0010332C">
        <w:rPr>
          <w:rFonts w:ascii="Times New Roman" w:hAnsi="Times New Roman" w:cs="Times New Roman"/>
          <w:sz w:val="24"/>
          <w:szCs w:val="24"/>
          <w:lang w:eastAsia="ru-RU"/>
        </w:rPr>
        <w:t>-6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r w:rsidR="00E21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r w:rsidR="00E21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непрограммных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формируют паспорта налоговых расходов, содержащие информацию по перечню согласно </w:t>
      </w:r>
      <w:proofErr w:type="gram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proofErr w:type="gramStart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 сайте</w:t>
      </w:r>
      <w:proofErr w:type="gramEnd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эффективности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</w:t>
      </w:r>
      <w:proofErr w:type="gramStart"/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</w:t>
      </w:r>
      <w:proofErr w:type="gram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</w:t>
      </w:r>
      <w:proofErr w:type="gramStart"/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году, рассчитываемый по формуле:</w:t>
      </w:r>
      <w:r w:rsidR="008D28DA" w:rsidRP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</w:t>
      </w:r>
      <w:proofErr w:type="gramStart"/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E21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r w:rsidR="00E21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(оценочные) значения показателей </w:t>
            </w: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001BD0"/>
    <w:rsid w:val="00094A23"/>
    <w:rsid w:val="0010332C"/>
    <w:rsid w:val="00105CD7"/>
    <w:rsid w:val="002B6862"/>
    <w:rsid w:val="002E61F7"/>
    <w:rsid w:val="004A2311"/>
    <w:rsid w:val="004D31C1"/>
    <w:rsid w:val="00500FE7"/>
    <w:rsid w:val="00533E4D"/>
    <w:rsid w:val="00633A47"/>
    <w:rsid w:val="006C0492"/>
    <w:rsid w:val="008C291A"/>
    <w:rsid w:val="008D28DA"/>
    <w:rsid w:val="009A57B9"/>
    <w:rsid w:val="00A113DC"/>
    <w:rsid w:val="00D2511C"/>
    <w:rsid w:val="00D7796A"/>
    <w:rsid w:val="00E04C3A"/>
    <w:rsid w:val="00E2180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D632-8561-49D6-87E5-F92CAE5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29D0-5F05-4790-A112-1382CCB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2019-04-23T13:46:00Z</cp:lastPrinted>
  <dcterms:created xsi:type="dcterms:W3CDTF">2019-03-29T06:32:00Z</dcterms:created>
  <dcterms:modified xsi:type="dcterms:W3CDTF">2019-04-24T05:35:00Z</dcterms:modified>
</cp:coreProperties>
</file>